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media/image5.png" ContentType="image/png"/>
  <Override PartName="/word/media/image6.wmf" ContentType="image/x-wmf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i/>
          <w:i/>
          <w:sz w:val="40"/>
          <w:szCs w:val="40"/>
          <w:lang w:val="bg-BG"/>
        </w:rPr>
      </w:pPr>
      <w:r>
        <w:rPr>
          <w:b/>
          <w:bCs/>
          <w:i/>
          <w:sz w:val="40"/>
          <w:szCs w:val="40"/>
          <w:lang w:val="bg-BG"/>
        </w:rPr>
        <w:t>Мрежови атаки и  сигурност на системите за електронен бизнес</w:t>
      </w:r>
    </w:p>
    <w:p>
      <w:pPr>
        <w:pStyle w:val="Normal"/>
        <w:jc w:val="both"/>
        <w:rPr>
          <w:i/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jc w:val="both"/>
        <w:rPr>
          <w:b/>
          <w:b/>
          <w:sz w:val="32"/>
          <w:szCs w:val="32"/>
          <w:lang w:val="bg-BG"/>
        </w:rPr>
      </w:pPr>
      <w:r>
        <w:rPr>
          <w:b/>
          <w:sz w:val="32"/>
          <w:szCs w:val="32"/>
          <w:lang w:val="bg-BG"/>
        </w:rPr>
        <w:t>Съдържание:</w:t>
      </w:r>
    </w:p>
    <w:p>
      <w:pPr>
        <w:pStyle w:val="Normal"/>
        <w:jc w:val="both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numPr>
          <w:ilvl w:val="0"/>
          <w:numId w:val="1"/>
        </w:numPr>
        <w:jc w:val="both"/>
        <w:rPr>
          <w:b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bg-BG"/>
        </w:rPr>
        <w:t>Атаки към компютърните мрежи, база на електронния бизнес.</w:t>
      </w:r>
    </w:p>
    <w:p>
      <w:pPr>
        <w:pStyle w:val="Normal"/>
        <w:numPr>
          <w:ilvl w:val="0"/>
          <w:numId w:val="1"/>
        </w:numPr>
        <w:jc w:val="both"/>
        <w:rPr>
          <w:b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bg-BG"/>
        </w:rPr>
        <w:t xml:space="preserve">Влияние на злонамерените програми и хакерските атаки върху електронния бизнес. </w:t>
      </w:r>
    </w:p>
    <w:p>
      <w:pPr>
        <w:pStyle w:val="Normal"/>
        <w:numPr>
          <w:ilvl w:val="0"/>
          <w:numId w:val="1"/>
        </w:numPr>
        <w:jc w:val="both"/>
        <w:rPr>
          <w:b/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 xml:space="preserve">Разрабогване на информационен </w:t>
      </w:r>
      <w:r>
        <w:rPr>
          <w:b/>
          <w:bCs/>
          <w:sz w:val="28"/>
          <w:szCs w:val="28"/>
        </w:rPr>
        <w:t>Web</w:t>
      </w:r>
      <w:r>
        <w:rPr>
          <w:b/>
          <w:bCs/>
          <w:sz w:val="28"/>
          <w:szCs w:val="28"/>
          <w:lang w:val="bg-BG"/>
        </w:rPr>
        <w:t xml:space="preserve"> сайт за сигурността на електронния бизнес.</w:t>
      </w:r>
    </w:p>
    <w:p>
      <w:pPr>
        <w:pStyle w:val="Normal"/>
        <w:jc w:val="both"/>
        <w:rPr>
          <w:b/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</w:r>
    </w:p>
    <w:p>
      <w:pPr>
        <w:pStyle w:val="Normal"/>
        <w:jc w:val="both"/>
        <w:rPr>
          <w:b/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</w:r>
    </w:p>
    <w:p>
      <w:pPr>
        <w:pStyle w:val="Normal"/>
        <w:jc w:val="both"/>
        <w:rPr>
          <w:b/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</w:r>
    </w:p>
    <w:p>
      <w:pPr>
        <w:pStyle w:val="Normal"/>
        <w:jc w:val="both"/>
        <w:rPr/>
      </w:pPr>
      <w:r>
        <w:rPr>
          <w:b/>
          <w:bCs/>
          <w:sz w:val="28"/>
          <w:szCs w:val="28"/>
          <w:lang w:val="bg-BG"/>
        </w:rPr>
        <w:t>1. АТАКИ КЪМ КОМПЮТЪРНИТЕ МРЕЖИ, БАЗА НА ЕЛЕКТРОННИЯ БИЗНЕС.</w:t>
      </w:r>
    </w:p>
    <w:p>
      <w:pPr>
        <w:pStyle w:val="Normal"/>
        <w:jc w:val="both"/>
        <w:rPr>
          <w:b/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</w:r>
    </w:p>
    <w:p>
      <w:pPr>
        <w:pStyle w:val="Normal"/>
        <w:numPr>
          <w:ilvl w:val="1"/>
          <w:numId w:val="8"/>
        </w:numPr>
        <w:jc w:val="both"/>
        <w:rPr/>
      </w:pPr>
      <w:r>
        <w:rPr>
          <w:bCs/>
          <w:sz w:val="28"/>
          <w:szCs w:val="28"/>
          <w:lang w:val="bg-BG"/>
        </w:rPr>
        <w:t>Атаки насочени към потребителя и операционната система</w:t>
      </w:r>
      <w:r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bg-BG"/>
        </w:rPr>
        <w:t xml:space="preserve">са: </w:t>
      </w:r>
    </w:p>
    <w:p>
      <w:pPr>
        <w:pStyle w:val="Normal"/>
        <w:numPr>
          <w:ilvl w:val="0"/>
          <w:numId w:val="3"/>
        </w:numPr>
        <w:jc w:val="both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Социален Инженеринг ( Social Engineering );</w:t>
      </w:r>
    </w:p>
    <w:p>
      <w:pPr>
        <w:pStyle w:val="Normal"/>
        <w:numPr>
          <w:ilvl w:val="0"/>
          <w:numId w:val="3"/>
        </w:numPr>
        <w:jc w:val="both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Троянски кон;</w:t>
      </w:r>
    </w:p>
    <w:p>
      <w:pPr>
        <w:pStyle w:val="Normal"/>
        <w:numPr>
          <w:ilvl w:val="0"/>
          <w:numId w:val="3"/>
        </w:numPr>
        <w:jc w:val="both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Вируси;</w:t>
      </w:r>
    </w:p>
    <w:p>
      <w:pPr>
        <w:pStyle w:val="Normal"/>
        <w:numPr>
          <w:ilvl w:val="0"/>
          <w:numId w:val="3"/>
        </w:numPr>
        <w:jc w:val="both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Червей ( Worm );</w:t>
      </w:r>
    </w:p>
    <w:p>
      <w:pPr>
        <w:pStyle w:val="Normal"/>
        <w:numPr>
          <w:ilvl w:val="0"/>
          <w:numId w:val="3"/>
        </w:numPr>
        <w:jc w:val="both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Софтуер-шпионин;</w:t>
      </w:r>
    </w:p>
    <w:p>
      <w:pPr>
        <w:pStyle w:val="Normal"/>
        <w:numPr>
          <w:ilvl w:val="0"/>
          <w:numId w:val="3"/>
        </w:numPr>
        <w:jc w:val="both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Капан ( задна врата, Trap Doors );</w:t>
      </w:r>
    </w:p>
    <w:p>
      <w:pPr>
        <w:pStyle w:val="Normal"/>
        <w:numPr>
          <w:ilvl w:val="0"/>
          <w:numId w:val="3"/>
        </w:numPr>
        <w:jc w:val="both"/>
        <w:rPr/>
      </w:pPr>
      <w:r>
        <w:rPr>
          <w:bCs/>
          <w:sz w:val="28"/>
          <w:szCs w:val="28"/>
          <w:lang w:val="bg-BG"/>
        </w:rPr>
        <w:t xml:space="preserve">Логически бомби ( Logic Bombs ). </w:t>
      </w:r>
    </w:p>
    <w:p>
      <w:pPr>
        <w:pStyle w:val="Normal"/>
        <w:numPr>
          <w:ilvl w:val="1"/>
          <w:numId w:val="8"/>
        </w:numPr>
        <w:jc w:val="both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Атаки насочени към комуникационния слой: </w:t>
      </w:r>
    </w:p>
    <w:p>
      <w:pPr>
        <w:pStyle w:val="Normal"/>
        <w:numPr>
          <w:ilvl w:val="0"/>
          <w:numId w:val="4"/>
        </w:numPr>
        <w:jc w:val="both"/>
        <w:rPr/>
      </w:pPr>
      <w:r>
        <w:rPr>
          <w:bCs/>
          <w:sz w:val="28"/>
          <w:szCs w:val="28"/>
          <w:lang w:val="bg-BG"/>
        </w:rPr>
        <w:t xml:space="preserve">ARP ( MAC ) Flooding; </w:t>
      </w:r>
    </w:p>
    <w:p>
      <w:pPr>
        <w:pStyle w:val="Normal"/>
        <w:numPr>
          <w:ilvl w:val="0"/>
          <w:numId w:val="4"/>
        </w:numPr>
        <w:jc w:val="both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MAC spoofing;</w:t>
      </w:r>
    </w:p>
    <w:p>
      <w:pPr>
        <w:pStyle w:val="Normal"/>
        <w:numPr>
          <w:ilvl w:val="0"/>
          <w:numId w:val="4"/>
        </w:numPr>
        <w:jc w:val="both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ARP spoofing;</w:t>
      </w:r>
    </w:p>
    <w:p>
      <w:pPr>
        <w:pStyle w:val="Normal"/>
        <w:numPr>
          <w:ilvl w:val="0"/>
          <w:numId w:val="4"/>
        </w:numPr>
        <w:jc w:val="both"/>
        <w:rPr/>
      </w:pPr>
      <w:r>
        <w:rPr>
          <w:bCs/>
          <w:sz w:val="28"/>
          <w:szCs w:val="28"/>
          <w:lang w:val="bg-BG"/>
        </w:rPr>
        <w:t xml:space="preserve">Спуфинг на IP адрес ( IP Address Spoofing ); </w:t>
      </w:r>
    </w:p>
    <w:p>
      <w:pPr>
        <w:pStyle w:val="Normal"/>
        <w:numPr>
          <w:ilvl w:val="0"/>
          <w:numId w:val="4"/>
        </w:numPr>
        <w:jc w:val="both"/>
        <w:rPr/>
      </w:pPr>
      <w:r>
        <w:rPr>
          <w:bCs/>
          <w:sz w:val="28"/>
          <w:szCs w:val="28"/>
          <w:lang w:val="bg-BG"/>
        </w:rPr>
        <w:t xml:space="preserve">Отказ на услуга ( Denial of Service, DoS ); </w:t>
      </w:r>
    </w:p>
    <w:p>
      <w:pPr>
        <w:pStyle w:val="Normal"/>
        <w:numPr>
          <w:ilvl w:val="0"/>
          <w:numId w:val="4"/>
        </w:numPr>
        <w:jc w:val="both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>Атаки по e-mail;</w:t>
      </w:r>
    </w:p>
    <w:p>
      <w:pPr>
        <w:pStyle w:val="Normal"/>
        <w:numPr>
          <w:ilvl w:val="0"/>
          <w:numId w:val="4"/>
        </w:numPr>
        <w:jc w:val="both"/>
        <w:rPr/>
      </w:pPr>
      <w:r>
        <w:rPr>
          <w:bCs/>
          <w:sz w:val="28"/>
          <w:szCs w:val="28"/>
          <w:lang w:val="bg-BG"/>
        </w:rPr>
        <w:t xml:space="preserve">Сканиране на портове. </w:t>
      </w:r>
    </w:p>
    <w:p>
      <w:pPr>
        <w:pStyle w:val="Normal"/>
        <w:jc w:val="both"/>
        <w:rPr>
          <w:b/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</w:r>
    </w:p>
    <w:p>
      <w:pPr>
        <w:pStyle w:val="Normal"/>
        <w:jc w:val="both"/>
        <w:rPr>
          <w:b/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</w:r>
    </w:p>
    <w:p>
      <w:pPr>
        <w:pStyle w:val="Normal"/>
        <w:jc w:val="both"/>
        <w:rPr>
          <w:b/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 xml:space="preserve">2. ВЛИЯНИЕ НА ЗЛОНАМЕРЕНИТЕ ПРОГРАМИ И ХАКЕРСКИТЕ АТАКИ ВЪЛХУ ЕЛЕКТРОННИЯ БИЗНЕС. </w:t>
      </w:r>
    </w:p>
    <w:p>
      <w:pPr>
        <w:pStyle w:val="Normal"/>
        <w:jc w:val="both"/>
        <w:rPr>
          <w:b/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</w:r>
    </w:p>
    <w:p>
      <w:pPr>
        <w:pStyle w:val="Normal"/>
        <w:numPr>
          <w:ilvl w:val="1"/>
          <w:numId w:val="7"/>
        </w:numPr>
        <w:jc w:val="both"/>
        <w:rPr>
          <w:b/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Тенденции в развитието на електронните престъпления и неправомерния достъп до бизнес мрежите.</w:t>
      </w:r>
    </w:p>
    <w:p>
      <w:pPr>
        <w:pStyle w:val="Normal"/>
        <w:ind w:firstLine="720"/>
        <w:jc w:val="both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Един на всеки пети съобщава за злонамерен достъп, който е довел до нарушаване на интегритета или работоспособността на мрежовите данни или услуги през последните 12 месеца. Повечето от тези атаки са „ външни ” ( 83% ) сравнени с „ вътрешните ” ( само 29% ). Сравнено с минали години, това показва леко повишаване на „ външните ” атаки и голямо намаляване на вътрешните атаки. Инфектирането с „ вируси ” и „ червеи ” са най-често възникналите проблеми. Като 45% от общия брой възникнали проблеми са в тази категория. Най–големи финансови загуби за 2006 се дължат на кражба или нарушаване на секретността на поверителна информация ( около $10 милиона ), финансови измами ( около $2 милиона) и телекомуникационни измами ( $1,5 милиона ).  </w:t>
      </w:r>
    </w:p>
    <w:p>
      <w:pPr>
        <w:pStyle w:val="Normal"/>
        <w:ind w:firstLine="72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</w:r>
    </w:p>
    <w:p>
      <w:pPr>
        <w:pStyle w:val="Normal"/>
        <w:numPr>
          <w:ilvl w:val="1"/>
          <w:numId w:val="7"/>
        </w:numPr>
        <w:jc w:val="both"/>
        <w:rPr>
          <w:b/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 xml:space="preserve">Готовност за защита и управление сигурността на </w:t>
      </w:r>
      <w:r>
        <w:rPr>
          <w:b/>
          <w:bCs/>
          <w:sz w:val="28"/>
          <w:szCs w:val="28"/>
          <w:lang w:val="ru-RU"/>
        </w:rPr>
        <w:t xml:space="preserve">  </w:t>
      </w:r>
      <w:r>
        <w:rPr>
          <w:b/>
          <w:bCs/>
          <w:sz w:val="28"/>
          <w:szCs w:val="28"/>
          <w:lang w:val="bg-BG"/>
        </w:rPr>
        <w:t>системите.</w:t>
      </w:r>
    </w:p>
    <w:p>
      <w:pPr>
        <w:pStyle w:val="Normal"/>
        <w:ind w:left="360" w:hanging="0"/>
        <w:jc w:val="both"/>
        <w:rPr>
          <w:b/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</w:r>
    </w:p>
    <w:p>
      <w:pPr>
        <w:pStyle w:val="Normal"/>
        <w:ind w:firstLine="720"/>
        <w:jc w:val="both"/>
        <w:rPr/>
      </w:pPr>
      <w:r>
        <w:rPr>
          <w:sz w:val="28"/>
          <w:szCs w:val="28"/>
          <w:lang w:val="bg-BG"/>
        </w:rPr>
        <w:t>Графиката по долу представя процентното съотношение на организациите съобщили за компютърни нарушения. За 2006 година се забелязва значително увеличение на нарушенията в сферата на промишлеността</w:t>
      </w:r>
      <w:r>
        <w:rPr>
          <w:b/>
          <w:bCs/>
          <w:sz w:val="28"/>
          <w:szCs w:val="28"/>
          <w:lang w:val="bg-BG"/>
        </w:rPr>
        <w:t>.</w:t>
      </w:r>
    </w:p>
    <w:p>
      <w:pPr>
        <w:pStyle w:val="Normal"/>
        <w:jc w:val="both"/>
        <w:rPr>
          <w:b/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</w:r>
    </w:p>
    <w:p>
      <w:pPr>
        <w:pStyle w:val="Normal"/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 w:eastAsia="en-US"/>
        </w:rPr>
        <w:drawing>
          <wp:inline distT="0" distB="0" distL="0" distR="0">
            <wp:extent cx="4018280" cy="2337435"/>
            <wp:effectExtent l="0" t="0" r="0" b="0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7" t="-9" r="-7" b="-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8280" cy="233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ind w:firstLine="720"/>
        <w:jc w:val="both"/>
        <w:rPr/>
      </w:pPr>
      <w:r>
        <w:rPr>
          <w:sz w:val="28"/>
          <w:szCs w:val="28"/>
          <w:lang w:val="bg-BG"/>
        </w:rPr>
        <w:t xml:space="preserve">- Представяне на атаките според годишния доход на фирмите </w:t>
      </w:r>
    </w:p>
    <w:p>
      <w:pPr>
        <w:pStyle w:val="Normal"/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 w:eastAsia="en-US"/>
        </w:rPr>
        <w:drawing>
          <wp:inline distT="0" distB="0" distL="0" distR="0">
            <wp:extent cx="4340860" cy="2155190"/>
            <wp:effectExtent l="0" t="0" r="0" b="0"/>
            <wp:docPr id="2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-8" t="-9" r="-8" b="-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60" cy="215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firstLine="720"/>
        <w:jc w:val="both"/>
        <w:rPr/>
      </w:pPr>
      <w:r>
        <w:rPr>
          <w:sz w:val="28"/>
          <w:szCs w:val="28"/>
          <w:lang w:val="bg-BG"/>
        </w:rPr>
        <w:t xml:space="preserve">- Следващата графика показва каква част от бюджета на фирмите е използван за  подобряване на сигурността при 2006 година. </w:t>
      </w:r>
    </w:p>
    <w:p>
      <w:pPr>
        <w:pStyle w:val="Normal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 w:eastAsia="en-US"/>
        </w:rPr>
        <w:drawing>
          <wp:inline distT="0" distB="0" distL="0" distR="0">
            <wp:extent cx="4576445" cy="2411730"/>
            <wp:effectExtent l="0" t="0" r="0" b="0"/>
            <wp:docPr id="3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8" t="-9" r="-8" b="-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445" cy="241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ind w:firstLine="720"/>
        <w:jc w:val="both"/>
        <w:rPr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 xml:space="preserve">- </w:t>
      </w:r>
      <w:r>
        <w:rPr>
          <w:bCs/>
          <w:sz w:val="28"/>
          <w:szCs w:val="28"/>
          <w:lang w:val="bg-BG"/>
        </w:rPr>
        <w:t>Влияние на компютърните атаки.</w:t>
      </w:r>
    </w:p>
    <w:p>
      <w:pPr>
        <w:pStyle w:val="Normal"/>
        <w:ind w:firstLine="720"/>
        <w:jc w:val="both"/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</w:r>
    </w:p>
    <w:p>
      <w:pPr>
        <w:pStyle w:val="Normal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bg-BG"/>
        </w:rPr>
        <w:t>Графиката по долу представя какви атаки са регистрирани през 2006 година в процентно съотношение.</w:t>
      </w:r>
    </w:p>
    <w:p>
      <w:pPr>
        <w:pStyle w:val="Normal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 w:eastAsia="en-US"/>
        </w:rPr>
        <w:drawing>
          <wp:inline distT="0" distB="0" distL="0" distR="0">
            <wp:extent cx="5827395" cy="2790190"/>
            <wp:effectExtent l="0" t="0" r="0" b="0"/>
            <wp:docPr id="4" name="Image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6" t="-7" r="-6" b="-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7395" cy="2790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jc w:val="both"/>
        <w:rPr>
          <w:sz w:val="32"/>
          <w:szCs w:val="32"/>
          <w:lang w:val="bg-BG"/>
        </w:rPr>
      </w:pPr>
      <w:r>
        <w:rPr>
          <w:b/>
          <w:bCs/>
          <w:sz w:val="32"/>
          <w:szCs w:val="32"/>
          <w:lang w:val="bg-BG"/>
        </w:rPr>
        <w:t>Изводи</w:t>
      </w:r>
    </w:p>
    <w:p>
      <w:pPr>
        <w:pStyle w:val="Normal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bg-BG"/>
        </w:rPr>
        <w:t xml:space="preserve">Липсата на класифицирани кадри както и ниската компютърна култура на крайния потребител най-често води до сериозни пробиви в сигурността и големи преки и посредствени загуби. През изминалата 2006 година определено се наблюдава тенденция на запазване ръста на увеличени на кибер престъпленията като най-голям увеличени процентно са пада на кражбата на поверителна информация. Финансовите измами достигат своя връх като достигат $2 милиона загуби 2006 година. Забеляза се определено активиране на разпространението на злонамерен код в това число троянски кон. </w:t>
      </w:r>
    </w:p>
    <w:p>
      <w:pPr>
        <w:pStyle w:val="Normal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jc w:val="both"/>
        <w:rPr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3. РАЗРАБОТВАНЕ НА</w:t>
      </w:r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bg-BG"/>
        </w:rPr>
        <w:t xml:space="preserve"> ИНФОРМАЦИОНЕН </w:t>
      </w:r>
      <w:r>
        <w:rPr>
          <w:b/>
          <w:bCs/>
          <w:sz w:val="28"/>
          <w:szCs w:val="28"/>
        </w:rPr>
        <w:t>WEB</w:t>
      </w:r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  <w:lang w:val="bg-BG"/>
        </w:rPr>
        <w:t>САЙТ ЗА СИГУРНОСТТА НА ЕЛЕКТРОННИЯ БИЗНЕС.</w:t>
      </w:r>
    </w:p>
    <w:p>
      <w:pPr>
        <w:pStyle w:val="Normal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numPr>
          <w:ilvl w:val="0"/>
          <w:numId w:val="6"/>
        </w:num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Подходи за разработване на </w:t>
      </w:r>
      <w:r>
        <w:rPr>
          <w:sz w:val="28"/>
          <w:szCs w:val="28"/>
        </w:rPr>
        <w:t>Web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сайтове.</w:t>
      </w:r>
    </w:p>
    <w:p>
      <w:pPr>
        <w:pStyle w:val="Normal"/>
        <w:numPr>
          <w:ilvl w:val="0"/>
          <w:numId w:val="6"/>
        </w:num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Описание на разработения сайт.</w:t>
      </w:r>
    </w:p>
    <w:p>
      <w:pPr>
        <w:pStyle w:val="Normal"/>
        <w:numPr>
          <w:ilvl w:val="0"/>
          <w:numId w:val="6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Средства за    реализация  на разработения web</w:t>
      </w:r>
      <w:r>
        <w:rPr>
          <w:sz w:val="28"/>
          <w:szCs w:val="28"/>
          <w:lang w:val="bg-BG"/>
        </w:rPr>
        <w:t xml:space="preserve"> с</w:t>
      </w:r>
      <w:r>
        <w:rPr>
          <w:sz w:val="28"/>
          <w:szCs w:val="28"/>
          <w:lang w:val="ru-RU"/>
        </w:rPr>
        <w:t>айт</w:t>
      </w:r>
      <w:r>
        <w:rPr>
          <w:sz w:val="28"/>
          <w:szCs w:val="28"/>
          <w:lang w:val="bg-BG"/>
        </w:rPr>
        <w:t>.</w:t>
      </w:r>
    </w:p>
    <w:p>
      <w:pPr>
        <w:pStyle w:val="Normal"/>
        <w:numPr>
          <w:ilvl w:val="0"/>
          <w:numId w:val="2"/>
        </w:numPr>
        <w:jc w:val="both"/>
        <w:rPr>
          <w:sz w:val="28"/>
          <w:szCs w:val="28"/>
          <w:lang w:val="bg-BG"/>
        </w:rPr>
      </w:pPr>
      <w:r>
        <w:rPr>
          <w:sz w:val="28"/>
          <w:szCs w:val="28"/>
        </w:rPr>
        <w:t>PHP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език за програмиране;</w:t>
      </w:r>
    </w:p>
    <w:p>
      <w:pPr>
        <w:pStyle w:val="Normal"/>
        <w:numPr>
          <w:ilvl w:val="0"/>
          <w:numId w:val="2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MySQL</w:t>
      </w:r>
      <w:r>
        <w:rPr>
          <w:sz w:val="28"/>
          <w:szCs w:val="28"/>
          <w:lang w:val="bg-BG"/>
        </w:rPr>
        <w:t>;</w:t>
      </w:r>
    </w:p>
    <w:p>
      <w:pPr>
        <w:pStyle w:val="Normal"/>
        <w:numPr>
          <w:ilvl w:val="0"/>
          <w:numId w:val="5"/>
        </w:num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Основни модули в сайта. </w:t>
      </w:r>
    </w:p>
    <w:p>
      <w:pPr>
        <w:pStyle w:val="Normal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numPr>
          <w:ilvl w:val="1"/>
          <w:numId w:val="1"/>
        </w:numPr>
        <w:jc w:val="both"/>
        <w:rPr>
          <w:b/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bg-BG"/>
        </w:rPr>
        <w:t>Описание на разработения сайт.</w:t>
      </w:r>
    </w:p>
    <w:p>
      <w:pPr>
        <w:pStyle w:val="Normal"/>
        <w:ind w:firstLine="720"/>
        <w:jc w:val="both"/>
        <w:rPr>
          <w:b/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  <w:lang w:val="ru-RU"/>
        </w:rPr>
        <w:br/>
      </w:r>
      <w:r>
        <w:rPr>
          <w:b/>
          <w:bCs/>
          <w:sz w:val="28"/>
          <w:szCs w:val="28"/>
          <w:lang w:val="bg-BG"/>
        </w:rPr>
        <w:t xml:space="preserve">          </w:t>
      </w:r>
      <w:r>
        <w:rPr>
          <w:sz w:val="28"/>
          <w:szCs w:val="28"/>
          <w:lang w:val="bg-BG"/>
        </w:rPr>
        <w:t xml:space="preserve">За информация на желаещите да се запознаят с електронния бизнес, в курсовата работа е разработен активен сайт с използването на редактора </w:t>
      </w:r>
      <w:r>
        <w:rPr>
          <w:sz w:val="28"/>
          <w:szCs w:val="28"/>
        </w:rPr>
        <w:t>FrontPage</w:t>
      </w:r>
      <w:r>
        <w:rPr>
          <w:sz w:val="28"/>
          <w:szCs w:val="28"/>
          <w:lang w:val="bg-BG"/>
        </w:rPr>
        <w:t xml:space="preserve"> и езика </w:t>
      </w:r>
      <w:r>
        <w:rPr>
          <w:sz w:val="28"/>
          <w:szCs w:val="28"/>
        </w:rPr>
        <w:t>PHP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MySQL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 xml:space="preserve">. Началната страница показва вход към сайта. Тя е разработена с използване на продукта </w:t>
      </w:r>
      <w:r>
        <w:rPr>
          <w:sz w:val="28"/>
          <w:szCs w:val="28"/>
        </w:rPr>
        <w:t>Macromedia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</w:rPr>
        <w:t>FLASH</w:t>
      </w:r>
      <w:r>
        <w:rPr>
          <w:sz w:val="28"/>
          <w:szCs w:val="28"/>
          <w:lang w:val="bg-BG"/>
        </w:rPr>
        <w:t>.</w:t>
      </w:r>
    </w:p>
    <w:p>
      <w:pPr>
        <w:pStyle w:val="Normal"/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Основна страница на сайта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– фиг.3.1. От него се извършва преход чрез хипервръзки към информационните модули на сайта.</w:t>
      </w:r>
    </w:p>
    <w:p>
      <w:pPr>
        <w:pStyle w:val="Normal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 w:eastAsia="en-US"/>
        </w:rPr>
        <w:drawing>
          <wp:inline distT="0" distB="0" distL="0" distR="0">
            <wp:extent cx="5139055" cy="3837940"/>
            <wp:effectExtent l="0" t="0" r="0" b="0"/>
            <wp:docPr id="5" name="Image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5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4" t="-5" r="-4" b="-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9055" cy="383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 фиг.3.2. е показана структурната схема на сайта, която съставя разработената в курсовата работа хипертекстова информационна система.</w:t>
        <w:br/>
        <w:t xml:space="preserve">    </w:t>
      </w:r>
    </w:p>
    <w:p>
      <w:pPr>
        <w:pStyle w:val="Normal"/>
        <w:rPr>
          <w:sz w:val="28"/>
          <w:szCs w:val="28"/>
          <w:lang w:val="bg-BG" w:eastAsia="en-US"/>
        </w:rPr>
      </w:pPr>
      <w:r>
        <w:rPr>
          <w:sz w:val="28"/>
          <w:szCs w:val="28"/>
          <w:lang w:val="bg-BG" w:eastAsia="en-US"/>
        </w:rPr>
        <w:drawing>
          <wp:anchor behindDoc="0" distT="0" distB="0" distL="114935" distR="114935" simplePos="0" locked="0" layoutInCell="0" allowOverlap="1" relativeHeight="4">
            <wp:simplePos x="0" y="0"/>
            <wp:positionH relativeFrom="column">
              <wp:posOffset>0</wp:posOffset>
            </wp:positionH>
            <wp:positionV relativeFrom="paragraph">
              <wp:posOffset>-1270</wp:posOffset>
            </wp:positionV>
            <wp:extent cx="6172200" cy="4205605"/>
            <wp:effectExtent l="0" t="0" r="0" b="0"/>
            <wp:wrapNone/>
            <wp:docPr id="6" name="Image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" t="-6" r="-4" b="-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420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tabs>
          <w:tab w:val="clear" w:pos="708"/>
          <w:tab w:val="left" w:pos="3975" w:leader="none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ab/>
      </w:r>
    </w:p>
    <w:p>
      <w:pPr>
        <w:pStyle w:val="Normal"/>
        <w:tabs>
          <w:tab w:val="clear" w:pos="708"/>
          <w:tab w:val="left" w:pos="3975" w:leader="none"/>
        </w:tabs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tabs>
          <w:tab w:val="clear" w:pos="708"/>
          <w:tab w:val="left" w:pos="3975" w:leader="none"/>
        </w:tabs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tabs>
          <w:tab w:val="clear" w:pos="708"/>
          <w:tab w:val="left" w:pos="3975" w:leader="none"/>
        </w:tabs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tabs>
          <w:tab w:val="clear" w:pos="708"/>
          <w:tab w:val="left" w:pos="3975" w:leader="none"/>
        </w:tabs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tabs>
          <w:tab w:val="clear" w:pos="708"/>
          <w:tab w:val="left" w:pos="3975" w:leader="none"/>
        </w:tabs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tabs>
          <w:tab w:val="clear" w:pos="708"/>
          <w:tab w:val="left" w:pos="3975" w:leader="none"/>
        </w:tabs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p>
      <w:pPr>
        <w:pStyle w:val="Normal"/>
        <w:tabs>
          <w:tab w:val="clear" w:pos="708"/>
          <w:tab w:val="left" w:pos="3975" w:leader="none"/>
        </w:tabs>
        <w:ind w:firstLine="720"/>
        <w:jc w:val="both"/>
        <w:rPr/>
      </w:pPr>
      <w:r>
        <w:rPr>
          <w:sz w:val="28"/>
          <w:szCs w:val="28"/>
          <w:lang w:val="bg-BG"/>
        </w:rPr>
        <w:t>Разработен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e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 xml:space="preserve">информационен </w:t>
      </w:r>
      <w:r>
        <w:rPr>
          <w:sz w:val="28"/>
          <w:szCs w:val="28"/>
        </w:rPr>
        <w:t>Web</w:t>
      </w:r>
      <w:r>
        <w:rPr>
          <w:sz w:val="28"/>
          <w:szCs w:val="28"/>
          <w:lang w:val="bg-BG"/>
        </w:rPr>
        <w:t xml:space="preserve"> сайт за запознаване с проблемите на електронния бизнес. В него са разработени информационни модули за развитие на електронния бизнес, основни характеристики, модели и сигурност на електронния бизнес. Особено внимание е обърнато на сигурността като е приложена процедура за достъп чрез парола до съдържанието на курсовата работа, което също е модул от сайта.</w:t>
      </w:r>
    </w:p>
    <w:p>
      <w:pPr>
        <w:pStyle w:val="Normal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3"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7"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/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/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0"/>
      <w:szCs w:val="20"/>
      <w:lang w:val="en-US" w:bidi="ar-SA" w:eastAsia="zh-CN"/>
    </w:rPr>
  </w:style>
  <w:style w:type="character" w:styleId="WW8Num1z0">
    <w:name w:val="WW8Num1z0"/>
    <w:qFormat/>
    <w:rPr>
      <w:rFonts w:ascii="Wingdings" w:hAnsi="Wingdings" w:cs="Wingdings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>
      <w:b/>
    </w:rPr>
  </w:style>
  <w:style w:type="character" w:styleId="WW8Num2z1">
    <w:name w:val="WW8Num2z1"/>
    <w:qFormat/>
    <w:rPr/>
  </w:style>
  <w:style w:type="character" w:styleId="WW8Num3z0">
    <w:name w:val="WW8Num3z0"/>
    <w:qFormat/>
    <w:rPr>
      <w:rFonts w:ascii="Times New Roman" w:hAnsi="Times New Roman" w:cs="Times New Roman"/>
    </w:rPr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>
      <w:rFonts w:ascii="Wingdings" w:hAnsi="Wingdings" w:cs="Wingdings"/>
    </w:rPr>
  </w:style>
  <w:style w:type="character" w:styleId="WW8Num5z0">
    <w:name w:val="WW8Num5z0"/>
    <w:qFormat/>
    <w:rPr>
      <w:rFonts w:ascii="Wingdings" w:hAnsi="Wingdings" w:cs="Wingdings"/>
    </w:rPr>
  </w:style>
  <w:style w:type="character" w:styleId="WW8Num5z1">
    <w:name w:val="WW8Num5z1"/>
    <w:qFormat/>
    <w:rPr>
      <w:rFonts w:ascii="Times New Roman" w:hAnsi="Times New Roman" w:cs="Times New Roman"/>
    </w:rPr>
  </w:style>
  <w:style w:type="character" w:styleId="WW8Num6z0">
    <w:name w:val="WW8Num6z0"/>
    <w:qFormat/>
    <w:rPr>
      <w:rFonts w:ascii="Times New Roman" w:hAnsi="Times New Roman" w:cs="Times New Roman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rFonts w:ascii="Wingdings" w:hAnsi="Wingdings" w:cs="Wingdings"/>
    </w:rPr>
  </w:style>
  <w:style w:type="character" w:styleId="WW8Num8z0">
    <w:name w:val="WW8Num8z0"/>
    <w:qFormat/>
    <w:rPr>
      <w:rFonts w:ascii="Wingdings" w:hAnsi="Wingdings" w:cs="Wingdings"/>
    </w:rPr>
  </w:style>
  <w:style w:type="character" w:styleId="WW8Num9z0">
    <w:name w:val="WW8Num9z0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b/>
    </w:rPr>
  </w:style>
  <w:style w:type="character" w:styleId="WW8Num10z1">
    <w:name w:val="WW8Num10z1"/>
    <w:qFormat/>
    <w:rPr>
      <w:rFonts w:ascii="Wingdings" w:hAnsi="Wingdings" w:cs="Wingdings"/>
    </w:rPr>
  </w:style>
  <w:style w:type="character" w:styleId="WW8Num11z0">
    <w:name w:val="WW8Num11z0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Times New Roman" w:hAnsi="Times New Roman" w:cs="Times New Roman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Wingdings" w:hAnsi="Wingdings" w:cs="Wingdings"/>
    </w:rPr>
  </w:style>
  <w:style w:type="character" w:styleId="WW8Num15z0">
    <w:name w:val="WW8Num15z0"/>
    <w:qFormat/>
    <w:rPr>
      <w:rFonts w:ascii="Wingdings" w:hAnsi="Wingdings" w:cs="Wingdings"/>
    </w:rPr>
  </w:style>
  <w:style w:type="character" w:styleId="WW8Num15z1">
    <w:name w:val="WW8Num15z1"/>
    <w:qFormat/>
    <w:rPr>
      <w:rFonts w:ascii="Times New Roman" w:hAnsi="Times New Roman" w:cs="Times New Roman"/>
    </w:rPr>
  </w:style>
  <w:style w:type="character" w:styleId="WW8Num16z0">
    <w:name w:val="WW8Num16z0"/>
    <w:qFormat/>
    <w:rPr>
      <w:rFonts w:ascii="Wingdings" w:hAnsi="Wingdings" w:cs="Wingdings"/>
    </w:rPr>
  </w:style>
  <w:style w:type="character" w:styleId="WW8Num17z0">
    <w:name w:val="WW8Num17z0"/>
    <w:qFormat/>
    <w:rPr>
      <w:rFonts w:ascii="Wingdings" w:hAnsi="Wingdings" w:cs="Wingdings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/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  <w:lang w:val="zxx" w:eastAsia="zxx" w:bidi="zxx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image" Target="media/image4.wmf"/><Relationship Id="rId6" Type="http://schemas.openxmlformats.org/officeDocument/2006/relationships/image" Target="media/image5.png"/><Relationship Id="rId7" Type="http://schemas.openxmlformats.org/officeDocument/2006/relationships/image" Target="media/image6.wmf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29</TotalTime>
  <Application>LibreOffice/7.3.3.2$Linux_X86_64 LibreOffice_project/30$Build-2</Application>
  <AppVersion>15.0000</AppVersion>
  <Pages>4</Pages>
  <Words>627</Words>
  <Characters>3484</Characters>
  <CharactersWithSpaces>4079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2009-11-28T12:12:00Z</dcterms:created>
  <dc:creator>Name</dc:creator>
  <dc:description/>
  <cp:keywords/>
  <dc:language>en-US</dc:language>
  <cp:lastModifiedBy>Name</cp:lastModifiedBy>
  <dcterms:modified xsi:type="dcterms:W3CDTF">2009-11-29T11:59:00Z</dcterms:modified>
  <cp:revision>2</cp:revision>
  <dc:subject/>
  <dc:title>Мрежови атаки и  сигурност на системите за електронен бизнес</dc:title>
</cp:coreProperties>
</file>